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CA59" w14:textId="097F41B0" w:rsidR="00A746A6" w:rsidRDefault="009F41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E586D6" wp14:editId="01B7F6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919698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A7EB66A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</w:p>
    <w:p w14:paraId="0BCA8450" w14:textId="77777777" w:rsidR="00D5599A" w:rsidRDefault="00D5599A" w:rsidP="00D5599A"/>
    <w:p w14:paraId="7342AB94" w14:textId="77777777" w:rsidR="00D5599A" w:rsidRDefault="00D5599A">
      <w:pPr>
        <w:rPr>
          <w:lang w:val="en-GB"/>
        </w:rPr>
      </w:pPr>
    </w:p>
    <w:p w14:paraId="5FBD47A5" w14:textId="77777777" w:rsidR="00AF1EE5" w:rsidRDefault="00AF1EE5">
      <w:pPr>
        <w:rPr>
          <w:lang w:val="en-GB"/>
        </w:rPr>
      </w:pPr>
    </w:p>
    <w:p w14:paraId="7B7280F2" w14:textId="341121EB" w:rsidR="00A746A6" w:rsidRDefault="00804D3E">
      <w:pPr>
        <w:rPr>
          <w:rFonts w:ascii="Arial" w:hAnsi="Arial" w:cs="Arial"/>
          <w:b/>
          <w:sz w:val="28"/>
          <w:szCs w:val="28"/>
        </w:rPr>
      </w:pPr>
      <w:r w:rsidRPr="007A399D">
        <w:rPr>
          <w:rFonts w:ascii="Arial" w:hAnsi="Arial" w:cs="Arial"/>
          <w:b/>
          <w:sz w:val="28"/>
          <w:szCs w:val="28"/>
        </w:rPr>
        <w:t xml:space="preserve">KASUTUSJUHEND UUE </w:t>
      </w:r>
      <w:r w:rsidR="00C21600">
        <w:rPr>
          <w:rFonts w:ascii="Arial" w:hAnsi="Arial" w:cs="Arial"/>
          <w:b/>
          <w:sz w:val="28"/>
          <w:szCs w:val="28"/>
        </w:rPr>
        <w:t>VA</w:t>
      </w:r>
      <w:r w:rsidR="00B017EC">
        <w:rPr>
          <w:rFonts w:ascii="Arial" w:hAnsi="Arial" w:cs="Arial"/>
          <w:b/>
          <w:sz w:val="28"/>
          <w:szCs w:val="28"/>
        </w:rPr>
        <w:t>LKIA</w:t>
      </w:r>
      <w:r w:rsidR="00C21600">
        <w:rPr>
          <w:rFonts w:ascii="Arial" w:hAnsi="Arial" w:cs="Arial"/>
          <w:b/>
          <w:sz w:val="28"/>
          <w:szCs w:val="28"/>
        </w:rPr>
        <w:t xml:space="preserve"> </w:t>
      </w:r>
      <w:r w:rsidR="006512B4">
        <w:rPr>
          <w:rFonts w:ascii="Arial" w:hAnsi="Arial" w:cs="Arial"/>
          <w:b/>
          <w:sz w:val="28"/>
          <w:szCs w:val="28"/>
        </w:rPr>
        <w:t>LEIVAAHJU</w:t>
      </w:r>
      <w:r w:rsidR="00B017EC">
        <w:rPr>
          <w:rFonts w:ascii="Arial" w:hAnsi="Arial" w:cs="Arial"/>
          <w:b/>
          <w:sz w:val="28"/>
          <w:szCs w:val="28"/>
        </w:rPr>
        <w:t>GA</w:t>
      </w:r>
      <w:r w:rsidR="006512B4">
        <w:rPr>
          <w:rFonts w:ascii="Arial" w:hAnsi="Arial" w:cs="Arial"/>
          <w:b/>
          <w:sz w:val="28"/>
          <w:szCs w:val="28"/>
        </w:rPr>
        <w:t xml:space="preserve"> </w:t>
      </w:r>
      <w:r w:rsidRPr="007A399D">
        <w:rPr>
          <w:rFonts w:ascii="Arial" w:hAnsi="Arial" w:cs="Arial"/>
          <w:b/>
          <w:sz w:val="28"/>
          <w:szCs w:val="28"/>
        </w:rPr>
        <w:t>KÜTMISEKS</w:t>
      </w:r>
      <w:r w:rsidR="00067C10">
        <w:rPr>
          <w:rFonts w:ascii="Arial" w:hAnsi="Arial" w:cs="Arial"/>
          <w:b/>
          <w:sz w:val="28"/>
          <w:szCs w:val="28"/>
        </w:rPr>
        <w:t>, TAVALINE JA</w:t>
      </w:r>
      <w:r w:rsidRPr="007A399D">
        <w:rPr>
          <w:rFonts w:ascii="Arial" w:hAnsi="Arial" w:cs="Arial"/>
          <w:b/>
          <w:sz w:val="28"/>
          <w:szCs w:val="28"/>
        </w:rPr>
        <w:t xml:space="preserve"> </w:t>
      </w:r>
      <w:r w:rsidR="00387967">
        <w:rPr>
          <w:rFonts w:ascii="Arial" w:hAnsi="Arial" w:cs="Arial"/>
          <w:b/>
          <w:sz w:val="28"/>
          <w:szCs w:val="28"/>
        </w:rPr>
        <w:t>PP</w:t>
      </w:r>
      <w:r w:rsidR="00067C10">
        <w:rPr>
          <w:rFonts w:ascii="Arial" w:hAnsi="Arial" w:cs="Arial"/>
          <w:b/>
          <w:sz w:val="28"/>
          <w:szCs w:val="28"/>
        </w:rPr>
        <w:t xml:space="preserve"> MUDEL </w:t>
      </w:r>
      <w:bookmarkStart w:id="0" w:name="_GoBack"/>
      <w:bookmarkEnd w:id="0"/>
      <w:r w:rsidR="00B017EC">
        <w:rPr>
          <w:rFonts w:ascii="Arial" w:hAnsi="Arial" w:cs="Arial"/>
          <w:b/>
          <w:sz w:val="28"/>
          <w:szCs w:val="28"/>
        </w:rPr>
        <w:t>(KORSTNAÜHENDUS PEALT)</w:t>
      </w:r>
    </w:p>
    <w:p w14:paraId="72C9B55A" w14:textId="77777777" w:rsidR="00BB4E88" w:rsidRPr="007A399D" w:rsidRDefault="00BB4E88" w:rsidP="00BC4A89">
      <w:pPr>
        <w:rPr>
          <w:rFonts w:ascii="Arial" w:hAnsi="Arial" w:cs="Arial"/>
          <w:b/>
          <w:sz w:val="28"/>
          <w:szCs w:val="28"/>
        </w:rPr>
      </w:pPr>
    </w:p>
    <w:p w14:paraId="3F3F3E33" w14:textId="150DB4CD" w:rsidR="00A746A6" w:rsidRDefault="00804D3E">
      <w:pPr>
        <w:rPr>
          <w:rFonts w:ascii="Arial" w:hAnsi="Arial" w:cs="Arial"/>
        </w:rPr>
      </w:pPr>
      <w:r>
        <w:rPr>
          <w:rFonts w:ascii="Arial" w:hAnsi="Arial" w:cs="Arial"/>
        </w:rPr>
        <w:t>Enne toote kasutamist lugege hoolikalt kasutus</w:t>
      </w:r>
      <w:r w:rsidR="00B017EC">
        <w:rPr>
          <w:rFonts w:ascii="Arial" w:hAnsi="Arial" w:cs="Arial"/>
        </w:rPr>
        <w:t>- ja kütmis</w:t>
      </w:r>
      <w:r>
        <w:rPr>
          <w:rFonts w:ascii="Arial" w:hAnsi="Arial" w:cs="Arial"/>
        </w:rPr>
        <w:t>juhendit</w:t>
      </w:r>
      <w:r w:rsidR="00B017EC">
        <w:rPr>
          <w:rFonts w:ascii="Arial" w:hAnsi="Arial" w:cs="Arial"/>
        </w:rPr>
        <w:t>.</w:t>
      </w:r>
    </w:p>
    <w:p w14:paraId="7841F1C8" w14:textId="77777777" w:rsidR="00BB4E88" w:rsidRDefault="00BB4E88" w:rsidP="009567BD">
      <w:pPr>
        <w:rPr>
          <w:rFonts w:ascii="Arial" w:hAnsi="Arial" w:cs="Arial"/>
        </w:rPr>
      </w:pPr>
    </w:p>
    <w:p w14:paraId="14E57BE5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Kamina kasutamisel tuleb arvestada riiklikke ja kohalikke nõudeid kamina käitamisele ja kasutatavatele kütustele.</w:t>
      </w:r>
    </w:p>
    <w:p w14:paraId="42CECBF2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Järgige oma kaminale antud kütte- ja kasutusjuhiseid.</w:t>
      </w:r>
    </w:p>
    <w:p w14:paraId="1272CEE5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Põletage ainult kuiva puitu, </w:t>
      </w:r>
      <w:r w:rsidR="00901322">
        <w:rPr>
          <w:rFonts w:ascii="Arial" w:hAnsi="Arial" w:cs="Arial"/>
        </w:rPr>
        <w:t xml:space="preserve">mille </w:t>
      </w:r>
      <w:r>
        <w:rPr>
          <w:rFonts w:ascii="Arial" w:hAnsi="Arial" w:cs="Arial"/>
        </w:rPr>
        <w:t xml:space="preserve">niiskusesisaldus on alla </w:t>
      </w:r>
      <w:r w:rsidR="000345C1">
        <w:rPr>
          <w:rFonts w:ascii="Arial" w:hAnsi="Arial" w:cs="Arial"/>
        </w:rPr>
        <w:t xml:space="preserve">20%. </w:t>
      </w:r>
      <w:r>
        <w:rPr>
          <w:rFonts w:ascii="Arial" w:hAnsi="Arial" w:cs="Arial"/>
        </w:rPr>
        <w:t xml:space="preserve">Hea küttepuu on kask, lehis, pöök, tamm ja saar. Hea kütus on ka mänd, kuusk, lepp ja haab. Puidu maksimaalne pikkus </w:t>
      </w:r>
      <w:r w:rsidR="00903231">
        <w:rPr>
          <w:rFonts w:ascii="Arial" w:hAnsi="Arial" w:cs="Arial"/>
        </w:rPr>
        <w:t xml:space="preserve">peab olema </w:t>
      </w:r>
      <w:r>
        <w:rPr>
          <w:rFonts w:ascii="Arial" w:hAnsi="Arial" w:cs="Arial"/>
        </w:rPr>
        <w:t xml:space="preserve">330 mm pikkune </w:t>
      </w:r>
      <w:r w:rsidR="00052193">
        <w:rPr>
          <w:rFonts w:ascii="Arial" w:hAnsi="Arial" w:cs="Arial"/>
        </w:rPr>
        <w:t>ja maksimaalselt 80 mm paksune lõhestatud puit.</w:t>
      </w:r>
    </w:p>
    <w:p w14:paraId="5977E1B6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Ärge põletage jäätmeid!</w:t>
      </w:r>
    </w:p>
    <w:p w14:paraId="671AD7A2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Ärge kasutage süütevedelikke ega muid vedelkütuseid!</w:t>
      </w:r>
    </w:p>
    <w:p w14:paraId="0BCF5DDD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Ärge kasutage kaminat </w:t>
      </w:r>
      <w:r w:rsidR="00D652DF">
        <w:rPr>
          <w:rFonts w:ascii="Arial" w:hAnsi="Arial" w:cs="Arial"/>
        </w:rPr>
        <w:t xml:space="preserve">samaaegselt </w:t>
      </w:r>
      <w:r>
        <w:rPr>
          <w:rFonts w:ascii="Arial" w:hAnsi="Arial" w:cs="Arial"/>
        </w:rPr>
        <w:t>samasse korstnasse paigaldatud kaminaga.</w:t>
      </w:r>
    </w:p>
    <w:p w14:paraId="2D508C00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Ärge unustage arvestada ohutuskaugusi põlevate materjalidega ja kui hoiustate küttepuid kamina lähedal.</w:t>
      </w:r>
    </w:p>
    <w:p w14:paraId="0617B5FE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Hoidke ahju uks põlemise ajal suletud.</w:t>
      </w:r>
    </w:p>
    <w:p w14:paraId="56AD8A85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Ärge jätke tuld järelevalveta!</w:t>
      </w:r>
    </w:p>
    <w:p w14:paraId="5AA7E176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Ärge puudutage kamina kuumi pindu, näiteks luugi klaasi, ja hoiatage </w:t>
      </w:r>
      <w:r w:rsidR="00903231">
        <w:rPr>
          <w:rFonts w:ascii="Arial" w:hAnsi="Arial" w:cs="Arial"/>
        </w:rPr>
        <w:t>nooremaid pereliikmeid!</w:t>
      </w:r>
    </w:p>
    <w:p w14:paraId="75816134" w14:textId="53EF4E16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Ärge sulgege s</w:t>
      </w:r>
      <w:r w:rsidR="00B017EC">
        <w:rPr>
          <w:rFonts w:ascii="Arial" w:hAnsi="Arial" w:cs="Arial"/>
        </w:rPr>
        <w:t>iibrit</w:t>
      </w:r>
      <w:r>
        <w:rPr>
          <w:rFonts w:ascii="Arial" w:hAnsi="Arial" w:cs="Arial"/>
        </w:rPr>
        <w:t xml:space="preserve"> enne, kui süsi on täielikult kustunud! Sega ja põle</w:t>
      </w:r>
      <w:r w:rsidR="00B017EC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alati </w:t>
      </w:r>
      <w:r w:rsidR="00B017EC">
        <w:rPr>
          <w:rFonts w:ascii="Arial" w:hAnsi="Arial" w:cs="Arial"/>
        </w:rPr>
        <w:t>söed</w:t>
      </w:r>
      <w:r>
        <w:rPr>
          <w:rFonts w:ascii="Arial" w:hAnsi="Arial" w:cs="Arial"/>
        </w:rPr>
        <w:t xml:space="preserve"> lõpuni, et tulekambrisse ei jääks põlemata puid.</w:t>
      </w:r>
    </w:p>
    <w:p w14:paraId="7F7AF2F6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Kaminat tuleb regulaarselt hooldada! Tuhakaussi tuleb regulaarselt tühjendada, et asendusõhk saaks vabalt tulekoldesse voolata.</w:t>
      </w:r>
    </w:p>
    <w:p w14:paraId="2AC7B6F0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Veenduge, et hooldate ka oma pliiti regulaarselt!</w:t>
      </w:r>
      <w:r w:rsidR="00BB5AF3">
        <w:rPr>
          <w:rFonts w:ascii="Arial" w:hAnsi="Arial" w:cs="Arial"/>
        </w:rPr>
        <w:t xml:space="preserve"> Korstnat peaks alati kontrollima ja korstnapühkimist teostama korstnapühkija vastavalt riigi- ja piirkonnapõhistele juhistele ja eeskirjadele.</w:t>
      </w:r>
    </w:p>
    <w:p w14:paraId="4AC1DA7F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Pärast täitmist peab tulekambri kohal olema umbes 100 mm õhuruumi.</w:t>
      </w:r>
    </w:p>
    <w:p w14:paraId="09E814A7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Veenduge, et kamin saaks piisavalt põlemisõhku.</w:t>
      </w:r>
    </w:p>
    <w:p w14:paraId="276D0E54" w14:textId="5A8428B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Enne süütamist kontrollige alati, kas korstnas on piisav tõmme</w:t>
      </w:r>
      <w:r w:rsidR="000345C1">
        <w:rPr>
          <w:rFonts w:ascii="Arial" w:hAnsi="Arial" w:cs="Arial"/>
        </w:rPr>
        <w:t xml:space="preserve">, </w:t>
      </w:r>
      <w:r w:rsidR="00067EE2">
        <w:rPr>
          <w:rFonts w:ascii="Arial" w:hAnsi="Arial" w:cs="Arial"/>
        </w:rPr>
        <w:t xml:space="preserve">eriti </w:t>
      </w:r>
      <w:r w:rsidR="00BB5AF3">
        <w:rPr>
          <w:rFonts w:ascii="Arial" w:hAnsi="Arial" w:cs="Arial"/>
        </w:rPr>
        <w:t>halva ilma korral või kui kaminat ei ole pikka aega köetud.</w:t>
      </w:r>
      <w:r>
        <w:rPr>
          <w:rFonts w:ascii="Arial" w:hAnsi="Arial" w:cs="Arial"/>
        </w:rPr>
        <w:t xml:space="preserve"> Süüdake tikk või hoidke tulemasinate leeki kaminaruumis ja kui leek paindub kaminaruumi sisemuse poole, siis on süütamiseks vajalik tõm</w:t>
      </w:r>
      <w:r w:rsidR="00B017EC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olemas. Kui tõm</w:t>
      </w:r>
      <w:r w:rsidR="00B017EC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puudub, </w:t>
      </w:r>
      <w:r w:rsidR="00B017EC">
        <w:rPr>
          <w:rFonts w:ascii="Arial" w:hAnsi="Arial" w:cs="Arial"/>
        </w:rPr>
        <w:t>avage</w:t>
      </w:r>
      <w:r>
        <w:rPr>
          <w:rFonts w:ascii="Arial" w:hAnsi="Arial" w:cs="Arial"/>
        </w:rPr>
        <w:t xml:space="preserve"> </w:t>
      </w:r>
      <w:r w:rsidR="00B017EC">
        <w:rPr>
          <w:rFonts w:ascii="Arial" w:hAnsi="Arial" w:cs="Arial"/>
        </w:rPr>
        <w:t xml:space="preserve">tahmaluuk korstnajalas </w:t>
      </w:r>
      <w:r>
        <w:rPr>
          <w:rFonts w:ascii="Arial" w:hAnsi="Arial" w:cs="Arial"/>
        </w:rPr>
        <w:t>või kamina luuk ja soojendage suitsulõõri</w:t>
      </w:r>
      <w:r w:rsidR="00B017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mõne minuti jooksul fööni või soojapuhuriga. Kontrollige uuesti tõmmet.</w:t>
      </w:r>
    </w:p>
    <w:p w14:paraId="1DCB872E" w14:textId="7CF19133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Vajaduse korral peatage pliidi kubu ventilaator ja sundventilatsioon.</w:t>
      </w:r>
    </w:p>
    <w:p w14:paraId="240DC14F" w14:textId="77777777" w:rsidR="00A746A6" w:rsidRDefault="00BB4E88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Ventilatsioonil on sageli spiraalilüliti, kasutage seda</w:t>
      </w:r>
    </w:p>
    <w:p w14:paraId="3EBDC61F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Avage asendusõhuklapp ja vajaduse korral ventilatsiooniaken.</w:t>
      </w:r>
    </w:p>
    <w:p w14:paraId="1166659C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Kui korstnapõleng algab teie korstnas, teatage sellest kohe piirkondlikule häirekeskusele. Sulgege kõik kamina õhuregulaatorid ja luugid. Ärge sulgege korstnat!</w:t>
      </w:r>
    </w:p>
    <w:p w14:paraId="2054DD0D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Tõrke korral sulgege kõik kaminas olevad õhu juhtimisseadmed ja luugid. Ärge sulgege korstnakatet!</w:t>
      </w:r>
    </w:p>
    <w:p w14:paraId="72B10B38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Ilma Polarstone Oy loata ei tohi kaminas muudatusi teha!</w:t>
      </w:r>
    </w:p>
    <w:p w14:paraId="0D0858D6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Kamina paigaldab alati Polarstone Oy volitatud paigaldaja.</w:t>
      </w:r>
    </w:p>
    <w:p w14:paraId="1444B607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Kaminas tohib kasutada ainult Polarstone Oy toodetud või soovitatud osi.</w:t>
      </w:r>
    </w:p>
    <w:p w14:paraId="2B07EB6F" w14:textId="77777777" w:rsidR="00662862" w:rsidRDefault="00662862" w:rsidP="00662862">
      <w:pPr>
        <w:ind w:left="720"/>
        <w:rPr>
          <w:rFonts w:ascii="Arial" w:hAnsi="Arial" w:cs="Arial"/>
        </w:rPr>
      </w:pPr>
    </w:p>
    <w:p w14:paraId="69DFC056" w14:textId="77777777" w:rsidR="00662862" w:rsidRDefault="00662862" w:rsidP="00662862">
      <w:pPr>
        <w:ind w:left="720"/>
        <w:rPr>
          <w:rFonts w:ascii="Arial" w:hAnsi="Arial" w:cs="Arial"/>
        </w:rPr>
      </w:pPr>
    </w:p>
    <w:p w14:paraId="47E29A3A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Küttekeha võib paigaldada ühises suitsuahelasüsteemis vastavalt Polarstone Oy poolt antud ja tarnitud juhistele.</w:t>
      </w:r>
    </w:p>
    <w:p w14:paraId="5B438DFE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Iga poole päeva jooksul võib kütmisel põletada ainult pool maksimaalsest puidukogusest kaminas. Küttepuude arv päevas ei tohi ületada kamina jaoks lubatud maksimaalset puidukogust.</w:t>
      </w:r>
    </w:p>
    <w:p w14:paraId="49AB2AD4" w14:textId="0AB3F122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Küttekeha on varustatud </w:t>
      </w:r>
      <w:r w:rsidR="00BA4B8A">
        <w:rPr>
          <w:rFonts w:ascii="Arial" w:hAnsi="Arial" w:cs="Arial"/>
        </w:rPr>
        <w:t xml:space="preserve">küttekindaga, mida </w:t>
      </w:r>
      <w:r>
        <w:rPr>
          <w:rFonts w:ascii="Arial" w:hAnsi="Arial" w:cs="Arial"/>
        </w:rPr>
        <w:t>kasutatakse küttekeha ukse avamiseks ja õhu reguleerimise hoobade reguleerimis</w:t>
      </w:r>
      <w:r w:rsidR="00B017EC">
        <w:rPr>
          <w:rFonts w:ascii="Arial" w:hAnsi="Arial" w:cs="Arial"/>
        </w:rPr>
        <w:t>eks. Kindaid kasutatakse ka tuh</w:t>
      </w:r>
      <w:r>
        <w:rPr>
          <w:rFonts w:ascii="Arial" w:hAnsi="Arial" w:cs="Arial"/>
        </w:rPr>
        <w:t>a</w:t>
      </w:r>
      <w:r w:rsidR="00B017EC">
        <w:rPr>
          <w:rFonts w:ascii="Arial" w:hAnsi="Arial" w:cs="Arial"/>
        </w:rPr>
        <w:t xml:space="preserve">sahtli </w:t>
      </w:r>
      <w:r>
        <w:rPr>
          <w:rFonts w:ascii="Arial" w:hAnsi="Arial" w:cs="Arial"/>
        </w:rPr>
        <w:t>tühjendamiseks.</w:t>
      </w:r>
    </w:p>
    <w:p w14:paraId="4696F3E3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Katsetage toiteõhu sisselaskeava peopesa või tikutulega ja kontrollige, kas toru üks ots väljaspool maja on avatud. Samal ajal kontrollige, et toru on valmistatud mittesüttivast materjalist. Kui juurdevoolu õhku annab ruumiõhk</w:t>
      </w:r>
      <w:r w:rsidR="00BA4B8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kontrollige juurdevoolu õhuvarustust, kontrollides väljatõmbeseadmete, juurdevooluventiilide ja muude võimalike tulekollete tööd. Põlemisõhuvajadus on </w:t>
      </w:r>
      <w:r w:rsidR="00C21600">
        <w:rPr>
          <w:rFonts w:ascii="Arial" w:hAnsi="Arial" w:cs="Arial"/>
        </w:rPr>
        <w:t xml:space="preserve">45-90 </w:t>
      </w:r>
      <w:r>
        <w:rPr>
          <w:rFonts w:ascii="Arial" w:hAnsi="Arial" w:cs="Arial"/>
        </w:rPr>
        <w:t>kuupmeetrit tunnis, mis sõltub mitmest tegurist.</w:t>
      </w:r>
    </w:p>
    <w:p w14:paraId="28172262" w14:textId="77777777" w:rsidR="00A746A6" w:rsidRDefault="00804D3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Maksimaalne põletatav puidukogus on </w:t>
      </w:r>
      <w:r w:rsidR="00387967">
        <w:rPr>
          <w:rFonts w:ascii="Arial" w:hAnsi="Arial" w:cs="Arial"/>
        </w:rPr>
        <w:t xml:space="preserve">14 </w:t>
      </w:r>
      <w:r>
        <w:rPr>
          <w:rFonts w:ascii="Arial" w:hAnsi="Arial" w:cs="Arial"/>
        </w:rPr>
        <w:t>kg päevas.</w:t>
      </w:r>
    </w:p>
    <w:p w14:paraId="1A8ED80E" w14:textId="77777777" w:rsidR="00DC38EE" w:rsidRDefault="00DC38EE" w:rsidP="00DC38EE">
      <w:pPr>
        <w:ind w:left="720"/>
        <w:rPr>
          <w:rFonts w:ascii="Arial" w:hAnsi="Arial" w:cs="Arial"/>
        </w:rPr>
      </w:pPr>
    </w:p>
    <w:p w14:paraId="75034B61" w14:textId="77777777" w:rsidR="00DE2293" w:rsidRPr="007A399D" w:rsidRDefault="00DE2293" w:rsidP="00FB7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A6FAE38" w14:textId="77777777" w:rsidR="00BC4A89" w:rsidRPr="007A399D" w:rsidRDefault="00BC4A89" w:rsidP="009567BD">
      <w:pPr>
        <w:rPr>
          <w:rFonts w:ascii="Arial" w:hAnsi="Arial" w:cs="Arial"/>
        </w:rPr>
      </w:pPr>
    </w:p>
    <w:p w14:paraId="497B5610" w14:textId="77777777" w:rsidR="00A746A6" w:rsidRDefault="00804D3E">
      <w:pPr>
        <w:rPr>
          <w:rFonts w:ascii="Arial" w:hAnsi="Arial" w:cs="Arial"/>
        </w:rPr>
      </w:pPr>
      <w:r w:rsidRPr="007A399D">
        <w:rPr>
          <w:rFonts w:ascii="Arial" w:hAnsi="Arial" w:cs="Arial"/>
          <w:b/>
        </w:rPr>
        <w:t>Uus ahi on alati niiske ja seetõttu tuleb ahju kütmine alustada vastavalt antud juhistele</w:t>
      </w:r>
      <w:r w:rsidRPr="007A399D">
        <w:rPr>
          <w:rFonts w:ascii="Arial" w:hAnsi="Arial" w:cs="Arial"/>
        </w:rPr>
        <w:t>.</w:t>
      </w:r>
    </w:p>
    <w:p w14:paraId="1BA174BD" w14:textId="77777777" w:rsidR="007A399D" w:rsidRPr="007A399D" w:rsidRDefault="007A399D" w:rsidP="009567BD">
      <w:pPr>
        <w:rPr>
          <w:rFonts w:ascii="Arial" w:hAnsi="Arial" w:cs="Arial"/>
        </w:rPr>
      </w:pPr>
    </w:p>
    <w:p w14:paraId="1C0830BB" w14:textId="4EEDF81D" w:rsidR="00A746A6" w:rsidRDefault="00804D3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Avage </w:t>
      </w:r>
      <w:r w:rsidR="009567BD" w:rsidRPr="007A399D">
        <w:rPr>
          <w:rFonts w:ascii="Arial" w:hAnsi="Arial" w:cs="Arial"/>
        </w:rPr>
        <w:t>suitsu</w:t>
      </w:r>
      <w:r w:rsidR="00B017EC">
        <w:rPr>
          <w:rFonts w:ascii="Arial" w:hAnsi="Arial" w:cs="Arial"/>
        </w:rPr>
        <w:t>siiber</w:t>
      </w:r>
      <w:r w:rsidR="009567BD" w:rsidRPr="007A399D">
        <w:rPr>
          <w:rFonts w:ascii="Arial" w:hAnsi="Arial" w:cs="Arial"/>
        </w:rPr>
        <w:t xml:space="preserve"> </w:t>
      </w:r>
      <w:r w:rsidR="00B017EC">
        <w:rPr>
          <w:rFonts w:ascii="Arial" w:hAnsi="Arial" w:cs="Arial"/>
        </w:rPr>
        <w:t>täielikult</w:t>
      </w:r>
    </w:p>
    <w:p w14:paraId="01424703" w14:textId="77777777" w:rsidR="00A746A6" w:rsidRDefault="00804D3E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Avage </w:t>
      </w:r>
      <w:r w:rsidR="002E1098">
        <w:rPr>
          <w:rFonts w:ascii="Arial" w:hAnsi="Arial" w:cs="Arial"/>
        </w:rPr>
        <w:t xml:space="preserve">tuhakaussi umbes 3 </w:t>
      </w:r>
      <w:r w:rsidRPr="007A399D">
        <w:rPr>
          <w:rFonts w:ascii="Arial" w:hAnsi="Arial" w:cs="Arial"/>
        </w:rPr>
        <w:t>cm võrra, et tulekoldesse pääseks palju õhku resti alt. Hoidke tuhkakaussi avatuna kogu nädala jooksul algse kütmise ajal.</w:t>
      </w:r>
    </w:p>
    <w:p w14:paraId="66AADFBB" w14:textId="77777777" w:rsidR="00A746A6" w:rsidRDefault="00804D3E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>Avage tulekambri uksed ja laotage umbes 10-15 umbes 1-3 cm paksust ja 20-30 cm pikkust puidutükki ristikujuliselt resti peale ning süüdake süütepuude alt.</w:t>
      </w:r>
    </w:p>
    <w:p w14:paraId="4455F821" w14:textId="77777777" w:rsidR="00A746A6" w:rsidRDefault="00804D3E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>Sulgege tulekambri uksed ja kontrollige, et õhuavad oleksid avatud.</w:t>
      </w:r>
    </w:p>
    <w:p w14:paraId="311CDE35" w14:textId="08E6BFB3" w:rsidR="00A746A6" w:rsidRDefault="00804D3E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Laske tulel kustuda, kuid ärge sulgege </w:t>
      </w:r>
      <w:r w:rsidR="00B017EC">
        <w:rPr>
          <w:rFonts w:ascii="Arial" w:hAnsi="Arial" w:cs="Arial"/>
        </w:rPr>
        <w:t>siibrit</w:t>
      </w:r>
      <w:r w:rsidRPr="007A399D">
        <w:rPr>
          <w:rFonts w:ascii="Arial" w:hAnsi="Arial" w:cs="Arial"/>
        </w:rPr>
        <w:t xml:space="preserve"> pärast k</w:t>
      </w:r>
      <w:r w:rsidR="00B017EC">
        <w:rPr>
          <w:rFonts w:ascii="Arial" w:hAnsi="Arial" w:cs="Arial"/>
        </w:rPr>
        <w:t>ütmist</w:t>
      </w:r>
      <w:r w:rsidRPr="007A399D">
        <w:rPr>
          <w:rFonts w:ascii="Arial" w:hAnsi="Arial" w:cs="Arial"/>
        </w:rPr>
        <w:t>.</w:t>
      </w:r>
    </w:p>
    <w:p w14:paraId="3B857763" w14:textId="77777777" w:rsidR="009567BD" w:rsidRPr="007A399D" w:rsidRDefault="009567BD" w:rsidP="009567BD">
      <w:pPr>
        <w:rPr>
          <w:rFonts w:ascii="Arial" w:hAnsi="Arial" w:cs="Arial"/>
        </w:rPr>
      </w:pPr>
    </w:p>
    <w:p w14:paraId="0A41EC88" w14:textId="77777777" w:rsidR="00A746A6" w:rsidRDefault="00804D3E">
      <w:p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Korrake eelmisi samme umbes 10-15 korda ja võite seda teha hommikul ja õhtul, st kaks korda päevas. Pärast esimesi 5 korda võite puuhakke arvu veidi suurendada. </w:t>
      </w:r>
    </w:p>
    <w:p w14:paraId="1E1BCF89" w14:textId="77777777" w:rsidR="00A746A6" w:rsidRDefault="00804D3E">
      <w:pPr>
        <w:rPr>
          <w:rFonts w:ascii="Arial" w:hAnsi="Arial" w:cs="Arial"/>
        </w:rPr>
      </w:pPr>
      <w:r w:rsidRPr="007A399D">
        <w:rPr>
          <w:rFonts w:ascii="Arial" w:hAnsi="Arial" w:cs="Arial"/>
        </w:rPr>
        <w:t>Oluline on hoida suitsu- ja tuhakastid kogu esialgse kuumutamistsükli jooksul avatud, et liigne niiskus saaks ahjust aurustuda.</w:t>
      </w:r>
    </w:p>
    <w:p w14:paraId="2BF5821A" w14:textId="77777777" w:rsidR="007A399D" w:rsidRPr="007A399D" w:rsidRDefault="007A399D" w:rsidP="009567BD">
      <w:pPr>
        <w:rPr>
          <w:rFonts w:ascii="Arial" w:hAnsi="Arial" w:cs="Arial"/>
        </w:rPr>
      </w:pPr>
    </w:p>
    <w:p w14:paraId="048CF64B" w14:textId="77777777" w:rsidR="00A746A6" w:rsidRDefault="00804D3E">
      <w:pPr>
        <w:rPr>
          <w:rFonts w:ascii="Arial" w:hAnsi="Arial" w:cs="Arial"/>
          <w:b/>
        </w:rPr>
      </w:pPr>
      <w:r w:rsidRPr="00A65CC8">
        <w:rPr>
          <w:rFonts w:ascii="Arial" w:hAnsi="Arial" w:cs="Arial"/>
          <w:b/>
        </w:rPr>
        <w:t xml:space="preserve">Kui </w:t>
      </w:r>
      <w:r w:rsidR="007A399D" w:rsidRPr="00A65CC8">
        <w:rPr>
          <w:rFonts w:ascii="Arial" w:hAnsi="Arial" w:cs="Arial"/>
          <w:b/>
        </w:rPr>
        <w:t xml:space="preserve">ahju </w:t>
      </w:r>
      <w:r w:rsidRPr="00A65CC8">
        <w:rPr>
          <w:rFonts w:ascii="Arial" w:hAnsi="Arial" w:cs="Arial"/>
          <w:b/>
        </w:rPr>
        <w:t>esialgne kuumutamine on tehtud, saate järgida järgmisi samme</w:t>
      </w:r>
    </w:p>
    <w:p w14:paraId="2ED13C5E" w14:textId="77777777" w:rsidR="009567BD" w:rsidRPr="007A399D" w:rsidRDefault="009567BD" w:rsidP="009567BD">
      <w:pPr>
        <w:rPr>
          <w:rFonts w:ascii="Arial" w:hAnsi="Arial" w:cs="Arial"/>
        </w:rPr>
      </w:pPr>
    </w:p>
    <w:p w14:paraId="2C05A091" w14:textId="2DADAC72" w:rsidR="00A746A6" w:rsidRDefault="00554EE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Avage </w:t>
      </w:r>
      <w:r w:rsidR="009567BD" w:rsidRPr="007A399D">
        <w:rPr>
          <w:rFonts w:ascii="Arial" w:hAnsi="Arial" w:cs="Arial"/>
        </w:rPr>
        <w:t>suitsu</w:t>
      </w:r>
      <w:r w:rsidR="00B017EC">
        <w:rPr>
          <w:rFonts w:ascii="Arial" w:hAnsi="Arial" w:cs="Arial"/>
        </w:rPr>
        <w:t>siiber</w:t>
      </w:r>
      <w:r w:rsidR="009567BD" w:rsidRPr="007A399D">
        <w:rPr>
          <w:rFonts w:ascii="Arial" w:hAnsi="Arial" w:cs="Arial"/>
        </w:rPr>
        <w:t xml:space="preserve"> </w:t>
      </w:r>
      <w:r w:rsidR="00B017EC">
        <w:rPr>
          <w:rFonts w:ascii="Arial" w:hAnsi="Arial" w:cs="Arial"/>
        </w:rPr>
        <w:t>täielikult.</w:t>
      </w:r>
    </w:p>
    <w:p w14:paraId="6EED99EA" w14:textId="77777777" w:rsidR="00A746A6" w:rsidRDefault="009567BD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Avage </w:t>
      </w:r>
      <w:r w:rsidR="002E1098">
        <w:rPr>
          <w:rFonts w:ascii="Arial" w:hAnsi="Arial" w:cs="Arial"/>
        </w:rPr>
        <w:t xml:space="preserve">tuhakast veidi, umbes 3 </w:t>
      </w:r>
      <w:r w:rsidRPr="007A399D">
        <w:rPr>
          <w:rFonts w:ascii="Arial" w:hAnsi="Arial" w:cs="Arial"/>
        </w:rPr>
        <w:t>cm.</w:t>
      </w:r>
    </w:p>
    <w:p w14:paraId="2C368B8A" w14:textId="77777777" w:rsidR="00A746A6" w:rsidRDefault="009567BD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Avage tulekambri uksed ja süüdake tulekahjud tulemasinaga. Lisage pragunenud ja </w:t>
      </w:r>
    </w:p>
    <w:p w14:paraId="4393E567" w14:textId="77777777" w:rsidR="00A746A6" w:rsidRDefault="002E1098">
      <w:pPr>
        <w:ind w:left="825"/>
        <w:rPr>
          <w:rFonts w:ascii="Arial" w:hAnsi="Arial" w:cs="Arial"/>
        </w:rPr>
      </w:pPr>
      <w:r>
        <w:rPr>
          <w:rFonts w:ascii="Arial" w:hAnsi="Arial" w:cs="Arial"/>
        </w:rPr>
        <w:t xml:space="preserve">umbes </w:t>
      </w:r>
      <w:r w:rsidR="00387967">
        <w:rPr>
          <w:rFonts w:ascii="Arial" w:hAnsi="Arial" w:cs="Arial"/>
        </w:rPr>
        <w:t>3</w:t>
      </w:r>
      <w:r w:rsidR="00C21600">
        <w:rPr>
          <w:rFonts w:ascii="Arial" w:hAnsi="Arial" w:cs="Arial"/>
        </w:rPr>
        <w:t>,</w:t>
      </w:r>
      <w:r w:rsidR="00387967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kg </w:t>
      </w:r>
      <w:r w:rsidRPr="007A399D">
        <w:rPr>
          <w:rFonts w:ascii="Arial" w:hAnsi="Arial" w:cs="Arial"/>
        </w:rPr>
        <w:t xml:space="preserve">kuiva puitu tulekoldesse, mis on laotud </w:t>
      </w:r>
      <w:r>
        <w:rPr>
          <w:rFonts w:ascii="Arial" w:hAnsi="Arial" w:cs="Arial"/>
        </w:rPr>
        <w:t xml:space="preserve">horisontaalselt, </w:t>
      </w:r>
      <w:r w:rsidRPr="007A399D">
        <w:rPr>
          <w:rFonts w:ascii="Arial" w:hAnsi="Arial" w:cs="Arial"/>
        </w:rPr>
        <w:t xml:space="preserve">nii, </w:t>
      </w:r>
      <w:r>
        <w:rPr>
          <w:rFonts w:ascii="Arial" w:hAnsi="Arial" w:cs="Arial"/>
        </w:rPr>
        <w:t xml:space="preserve">et </w:t>
      </w:r>
      <w:r w:rsidRPr="007A399D">
        <w:rPr>
          <w:rFonts w:ascii="Arial" w:hAnsi="Arial" w:cs="Arial"/>
        </w:rPr>
        <w:t xml:space="preserve">puidu vahel on õhuruumi. </w:t>
      </w:r>
    </w:p>
    <w:p w14:paraId="1BD48A12" w14:textId="549BD151" w:rsidR="00A746A6" w:rsidRDefault="009567BD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Sulgege </w:t>
      </w:r>
      <w:r w:rsidR="00804D3E">
        <w:rPr>
          <w:rFonts w:ascii="Arial" w:hAnsi="Arial" w:cs="Arial"/>
        </w:rPr>
        <w:t>koldeuksuks</w:t>
      </w:r>
      <w:r w:rsidRPr="007A399D">
        <w:rPr>
          <w:rFonts w:ascii="Arial" w:hAnsi="Arial" w:cs="Arial"/>
        </w:rPr>
        <w:t xml:space="preserve"> ja kontrollige, et luugid oleksid avatud.</w:t>
      </w:r>
    </w:p>
    <w:p w14:paraId="43C18C5C" w14:textId="1D92C2D8" w:rsidR="00A746A6" w:rsidRDefault="009567BD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lastRenderedPageBreak/>
        <w:t xml:space="preserve"> Kasutage </w:t>
      </w:r>
      <w:r w:rsidR="00804D3E">
        <w:rPr>
          <w:rFonts w:ascii="Arial" w:hAnsi="Arial" w:cs="Arial"/>
        </w:rPr>
        <w:t>põlemise</w:t>
      </w:r>
      <w:r w:rsidRPr="007A399D">
        <w:rPr>
          <w:rFonts w:ascii="Arial" w:hAnsi="Arial" w:cs="Arial"/>
        </w:rPr>
        <w:t xml:space="preserve"> intensiivsuse reguleerimiseks tuha</w:t>
      </w:r>
      <w:r w:rsidR="00D2126F">
        <w:rPr>
          <w:rFonts w:ascii="Arial" w:hAnsi="Arial" w:cs="Arial"/>
        </w:rPr>
        <w:t xml:space="preserve">sahtli avamist </w:t>
      </w:r>
      <w:r w:rsidRPr="007A399D">
        <w:rPr>
          <w:rFonts w:ascii="Arial" w:hAnsi="Arial" w:cs="Arial"/>
        </w:rPr>
        <w:t xml:space="preserve"> </w:t>
      </w:r>
      <w:r w:rsidR="00D2126F">
        <w:rPr>
          <w:rFonts w:ascii="Arial" w:hAnsi="Arial" w:cs="Arial"/>
        </w:rPr>
        <w:t xml:space="preserve">ja </w:t>
      </w:r>
      <w:r w:rsidRPr="007A399D">
        <w:rPr>
          <w:rFonts w:ascii="Arial" w:hAnsi="Arial" w:cs="Arial"/>
        </w:rPr>
        <w:t>laske põlemisõh</w:t>
      </w:r>
      <w:r w:rsidR="00804D3E">
        <w:rPr>
          <w:rFonts w:ascii="Arial" w:hAnsi="Arial" w:cs="Arial"/>
        </w:rPr>
        <w:t>k</w:t>
      </w:r>
      <w:r w:rsidRPr="007A399D">
        <w:rPr>
          <w:rFonts w:ascii="Arial" w:hAnsi="Arial" w:cs="Arial"/>
        </w:rPr>
        <w:t xml:space="preserve">u </w:t>
      </w:r>
      <w:r w:rsidR="00D2126F">
        <w:rPr>
          <w:rFonts w:ascii="Arial" w:hAnsi="Arial" w:cs="Arial"/>
        </w:rPr>
        <w:t>peale</w:t>
      </w:r>
    </w:p>
    <w:p w14:paraId="73328B9F" w14:textId="7A373855" w:rsidR="00A746A6" w:rsidRDefault="009567BD">
      <w:pPr>
        <w:ind w:left="360"/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      piisavalt, et </w:t>
      </w:r>
      <w:r w:rsidR="00804D3E">
        <w:rPr>
          <w:rFonts w:ascii="Arial" w:hAnsi="Arial" w:cs="Arial"/>
        </w:rPr>
        <w:t xml:space="preserve">tagada </w:t>
      </w:r>
      <w:r w:rsidRPr="007A399D">
        <w:rPr>
          <w:rFonts w:ascii="Arial" w:hAnsi="Arial" w:cs="Arial"/>
        </w:rPr>
        <w:t xml:space="preserve"> </w:t>
      </w:r>
      <w:r w:rsidR="00804D3E">
        <w:rPr>
          <w:rFonts w:ascii="Arial" w:hAnsi="Arial" w:cs="Arial"/>
        </w:rPr>
        <w:t xml:space="preserve">tulel põlemist </w:t>
      </w:r>
      <w:r w:rsidR="00D2126F">
        <w:rPr>
          <w:rFonts w:ascii="Arial" w:hAnsi="Arial" w:cs="Arial"/>
        </w:rPr>
        <w:t>intensiivselt</w:t>
      </w:r>
      <w:r w:rsidRPr="007A399D">
        <w:rPr>
          <w:rFonts w:ascii="Arial" w:hAnsi="Arial" w:cs="Arial"/>
        </w:rPr>
        <w:t>, mitte laisalt.</w:t>
      </w:r>
    </w:p>
    <w:p w14:paraId="752349AC" w14:textId="77777777" w:rsidR="00A746A6" w:rsidRDefault="009567BD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Lisage tulekoldesse </w:t>
      </w:r>
      <w:r w:rsidR="002E1098">
        <w:rPr>
          <w:rFonts w:ascii="Arial" w:hAnsi="Arial" w:cs="Arial"/>
        </w:rPr>
        <w:t xml:space="preserve">umbes </w:t>
      </w:r>
      <w:r w:rsidR="00387967">
        <w:rPr>
          <w:rFonts w:ascii="Arial" w:hAnsi="Arial" w:cs="Arial"/>
        </w:rPr>
        <w:t>3</w:t>
      </w:r>
      <w:r w:rsidR="00C21600">
        <w:rPr>
          <w:rFonts w:ascii="Arial" w:hAnsi="Arial" w:cs="Arial"/>
        </w:rPr>
        <w:t>,</w:t>
      </w:r>
      <w:r w:rsidR="00387967">
        <w:rPr>
          <w:rFonts w:ascii="Arial" w:hAnsi="Arial" w:cs="Arial"/>
        </w:rPr>
        <w:t xml:space="preserve">0 </w:t>
      </w:r>
      <w:r w:rsidR="002E1098">
        <w:rPr>
          <w:rFonts w:ascii="Arial" w:hAnsi="Arial" w:cs="Arial"/>
        </w:rPr>
        <w:t xml:space="preserve">kg </w:t>
      </w:r>
      <w:r w:rsidRPr="007A399D">
        <w:rPr>
          <w:rFonts w:ascii="Arial" w:hAnsi="Arial" w:cs="Arial"/>
        </w:rPr>
        <w:t>puid, kui eelmine puit on peaaegu ära põlenud.</w:t>
      </w:r>
    </w:p>
    <w:p w14:paraId="65CE2F83" w14:textId="19122D5E" w:rsidR="00A746A6" w:rsidRDefault="002E1098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Sulgege </w:t>
      </w:r>
      <w:r w:rsidR="00D2126F">
        <w:rPr>
          <w:rFonts w:ascii="Arial" w:hAnsi="Arial" w:cs="Arial"/>
        </w:rPr>
        <w:t xml:space="preserve">koldeuks </w:t>
      </w:r>
      <w:r w:rsidRPr="007A399D">
        <w:rPr>
          <w:rFonts w:ascii="Arial" w:hAnsi="Arial" w:cs="Arial"/>
        </w:rPr>
        <w:t xml:space="preserve"> ja kontrollige, et </w:t>
      </w:r>
      <w:r w:rsidR="00D2126F">
        <w:rPr>
          <w:rFonts w:ascii="Arial" w:hAnsi="Arial" w:cs="Arial"/>
        </w:rPr>
        <w:t>õhuavad</w:t>
      </w:r>
      <w:r w:rsidRPr="007A399D">
        <w:rPr>
          <w:rFonts w:ascii="Arial" w:hAnsi="Arial" w:cs="Arial"/>
        </w:rPr>
        <w:t xml:space="preserve"> oleksid </w:t>
      </w:r>
      <w:r>
        <w:rPr>
          <w:rFonts w:ascii="Arial" w:hAnsi="Arial" w:cs="Arial"/>
        </w:rPr>
        <w:t>avatud.</w:t>
      </w:r>
    </w:p>
    <w:p w14:paraId="3201A150" w14:textId="77777777" w:rsidR="00552949" w:rsidRDefault="00552949" w:rsidP="00552949">
      <w:pPr>
        <w:rPr>
          <w:rFonts w:ascii="Arial" w:hAnsi="Arial" w:cs="Arial"/>
        </w:rPr>
      </w:pPr>
    </w:p>
    <w:p w14:paraId="0396430C" w14:textId="77777777" w:rsidR="00552949" w:rsidRDefault="00552949" w:rsidP="00552949">
      <w:pPr>
        <w:rPr>
          <w:rFonts w:ascii="Arial" w:hAnsi="Arial" w:cs="Arial"/>
        </w:rPr>
      </w:pPr>
    </w:p>
    <w:p w14:paraId="3696D3B0" w14:textId="77777777" w:rsidR="00A746A6" w:rsidRDefault="00804D3E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Lisage tulekoldesse </w:t>
      </w:r>
      <w:r>
        <w:rPr>
          <w:rFonts w:ascii="Arial" w:hAnsi="Arial" w:cs="Arial"/>
        </w:rPr>
        <w:t xml:space="preserve">umbes </w:t>
      </w:r>
      <w:r w:rsidR="00387967">
        <w:rPr>
          <w:rFonts w:ascii="Arial" w:hAnsi="Arial" w:cs="Arial"/>
        </w:rPr>
        <w:t>3</w:t>
      </w:r>
      <w:r w:rsidR="00C21600">
        <w:rPr>
          <w:rFonts w:ascii="Arial" w:hAnsi="Arial" w:cs="Arial"/>
        </w:rPr>
        <w:t>,</w:t>
      </w:r>
      <w:r w:rsidR="00387967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kg </w:t>
      </w:r>
      <w:r w:rsidRPr="007A399D">
        <w:rPr>
          <w:rFonts w:ascii="Arial" w:hAnsi="Arial" w:cs="Arial"/>
        </w:rPr>
        <w:t>puid, kui eelmine puit on peaaegu ära põlenud.</w:t>
      </w:r>
    </w:p>
    <w:p w14:paraId="5343E6D8" w14:textId="77777777" w:rsidR="00A746A6" w:rsidRDefault="00554EE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Kogu </w:t>
      </w:r>
      <w:r w:rsidR="009567BD" w:rsidRPr="007A399D">
        <w:rPr>
          <w:rFonts w:ascii="Arial" w:hAnsi="Arial" w:cs="Arial"/>
        </w:rPr>
        <w:t xml:space="preserve">kuumutamisaeg </w:t>
      </w:r>
      <w:r>
        <w:rPr>
          <w:rFonts w:ascii="Arial" w:hAnsi="Arial" w:cs="Arial"/>
        </w:rPr>
        <w:t>on umbes 1,5-2,5 tundi.</w:t>
      </w:r>
    </w:p>
    <w:p w14:paraId="6EFBD97D" w14:textId="77777777" w:rsidR="00A746A6" w:rsidRDefault="009567BD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Kui põlemine on lõppenud, segage söed pulgaga ja laske neil lõpuni põleda.</w:t>
      </w:r>
    </w:p>
    <w:p w14:paraId="4ED37543" w14:textId="77777777" w:rsidR="00A746A6" w:rsidRDefault="009567BD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Kui hõõguv tuli on põlenud ja ahjus ei ole enam põlevat materjali, </w:t>
      </w:r>
      <w:r w:rsidR="00554EEB">
        <w:rPr>
          <w:rFonts w:ascii="Arial" w:hAnsi="Arial" w:cs="Arial"/>
        </w:rPr>
        <w:t xml:space="preserve">sulgege suitsulõõr. </w:t>
      </w:r>
      <w:r w:rsidR="00C0391A">
        <w:rPr>
          <w:rFonts w:ascii="Arial" w:hAnsi="Arial" w:cs="Arial"/>
        </w:rPr>
        <w:t xml:space="preserve">Suitsutorusse jääb vähemalt </w:t>
      </w:r>
      <w:r w:rsidR="00662862">
        <w:rPr>
          <w:rFonts w:ascii="Arial" w:hAnsi="Arial" w:cs="Arial"/>
        </w:rPr>
        <w:t>20 cm2 suurune avaus.</w:t>
      </w:r>
    </w:p>
    <w:p w14:paraId="21467810" w14:textId="34D18B40" w:rsidR="00A746A6" w:rsidRDefault="009567BD">
      <w:pPr>
        <w:numPr>
          <w:ilvl w:val="0"/>
          <w:numId w:val="2"/>
        </w:numPr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Pärast </w:t>
      </w:r>
      <w:r w:rsidR="00804D3E">
        <w:rPr>
          <w:rFonts w:ascii="Arial" w:hAnsi="Arial" w:cs="Arial"/>
        </w:rPr>
        <w:t>õiget kütmist</w:t>
      </w:r>
      <w:r w:rsidRPr="007A399D">
        <w:rPr>
          <w:rFonts w:ascii="Arial" w:hAnsi="Arial" w:cs="Arial"/>
        </w:rPr>
        <w:t xml:space="preserve"> on tulekolle kahvatu ja tahm on põlenud. Ah</w:t>
      </w:r>
      <w:r w:rsidR="00804D3E">
        <w:rPr>
          <w:rFonts w:ascii="Arial" w:hAnsi="Arial" w:cs="Arial"/>
        </w:rPr>
        <w:t>i</w:t>
      </w:r>
      <w:r w:rsidRPr="007A399D">
        <w:rPr>
          <w:rFonts w:ascii="Arial" w:hAnsi="Arial" w:cs="Arial"/>
        </w:rPr>
        <w:t xml:space="preserve"> jääb </w:t>
      </w:r>
    </w:p>
    <w:p w14:paraId="2778C6CB" w14:textId="6005485B" w:rsidR="00A746A6" w:rsidRDefault="009567BD">
      <w:pPr>
        <w:ind w:left="360"/>
        <w:rPr>
          <w:rFonts w:ascii="Arial" w:hAnsi="Arial" w:cs="Arial"/>
        </w:rPr>
      </w:pPr>
      <w:r w:rsidRPr="007A399D">
        <w:rPr>
          <w:rFonts w:ascii="Arial" w:hAnsi="Arial" w:cs="Arial"/>
        </w:rPr>
        <w:t xml:space="preserve">       sooja</w:t>
      </w:r>
      <w:r w:rsidR="00804D3E">
        <w:rPr>
          <w:rFonts w:ascii="Arial" w:hAnsi="Arial" w:cs="Arial"/>
        </w:rPr>
        <w:t>k</w:t>
      </w:r>
      <w:r w:rsidRPr="007A399D">
        <w:rPr>
          <w:rFonts w:ascii="Arial" w:hAnsi="Arial" w:cs="Arial"/>
        </w:rPr>
        <w:t xml:space="preserve">s </w:t>
      </w:r>
      <w:r w:rsidR="00A14DE3">
        <w:rPr>
          <w:rFonts w:ascii="Arial" w:hAnsi="Arial" w:cs="Arial"/>
        </w:rPr>
        <w:t xml:space="preserve">24-45 </w:t>
      </w:r>
      <w:r w:rsidRPr="007A399D">
        <w:rPr>
          <w:rFonts w:ascii="Arial" w:hAnsi="Arial" w:cs="Arial"/>
        </w:rPr>
        <w:t>tun</w:t>
      </w:r>
      <w:r w:rsidR="00804D3E">
        <w:rPr>
          <w:rFonts w:ascii="Arial" w:hAnsi="Arial" w:cs="Arial"/>
        </w:rPr>
        <w:t>ni vältel</w:t>
      </w:r>
      <w:r w:rsidRPr="007A399D">
        <w:rPr>
          <w:rFonts w:ascii="Arial" w:hAnsi="Arial" w:cs="Arial"/>
        </w:rPr>
        <w:t xml:space="preserve"> pärast k</w:t>
      </w:r>
      <w:r w:rsidR="00804D3E">
        <w:rPr>
          <w:rFonts w:ascii="Arial" w:hAnsi="Arial" w:cs="Arial"/>
        </w:rPr>
        <w:t>ütmi</w:t>
      </w:r>
      <w:r w:rsidRPr="007A399D">
        <w:rPr>
          <w:rFonts w:ascii="Arial" w:hAnsi="Arial" w:cs="Arial"/>
        </w:rPr>
        <w:t>st</w:t>
      </w:r>
      <w:r w:rsidR="00804D3E">
        <w:rPr>
          <w:rFonts w:ascii="Arial" w:hAnsi="Arial" w:cs="Arial"/>
        </w:rPr>
        <w:t>.</w:t>
      </w:r>
    </w:p>
    <w:p w14:paraId="5F6F3070" w14:textId="77777777" w:rsidR="003F69C2" w:rsidRPr="007A399D" w:rsidRDefault="003F69C2" w:rsidP="007A399D">
      <w:pPr>
        <w:ind w:left="360"/>
        <w:rPr>
          <w:rFonts w:ascii="Arial" w:hAnsi="Arial" w:cs="Arial"/>
        </w:rPr>
      </w:pPr>
    </w:p>
    <w:p w14:paraId="47A21898" w14:textId="77777777" w:rsidR="002F5556" w:rsidRDefault="002F5556" w:rsidP="002F5556">
      <w:pPr>
        <w:rPr>
          <w:rFonts w:ascii="Arial" w:hAnsi="Arial" w:cs="Arial"/>
        </w:rPr>
      </w:pPr>
    </w:p>
    <w:p w14:paraId="30966C3E" w14:textId="77777777" w:rsidR="00A746A6" w:rsidRDefault="00804D3E">
      <w:pPr>
        <w:rPr>
          <w:rFonts w:ascii="Arial" w:hAnsi="Arial" w:cs="Arial"/>
          <w:lang w:val="sv-SE"/>
        </w:rPr>
      </w:pPr>
      <w:r w:rsidRPr="003F69C2">
        <w:rPr>
          <w:rFonts w:ascii="Arial" w:hAnsi="Arial" w:cs="Arial"/>
          <w:lang w:val="sv-SE"/>
        </w:rPr>
        <w:t xml:space="preserve">Tooteinfo </w:t>
      </w:r>
    </w:p>
    <w:p w14:paraId="15C34504" w14:textId="77777777" w:rsidR="009316D1" w:rsidRDefault="009316D1" w:rsidP="003F69C2">
      <w:pPr>
        <w:rPr>
          <w:rFonts w:ascii="Arial" w:hAnsi="Arial" w:cs="Arial"/>
          <w:lang w:val="sv-SE"/>
        </w:rPr>
      </w:pPr>
    </w:p>
    <w:p w14:paraId="7F3B70A8" w14:textId="77777777" w:rsidR="005D5923" w:rsidRDefault="005D5923" w:rsidP="003F69C2">
      <w:pPr>
        <w:rPr>
          <w:rFonts w:ascii="Arial" w:hAnsi="Arial" w:cs="Arial"/>
          <w:lang w:val="sv-SE"/>
        </w:rPr>
      </w:pPr>
    </w:p>
    <w:p w14:paraId="265DE4CE" w14:textId="77777777" w:rsidR="009316D1" w:rsidRDefault="009316D1" w:rsidP="003F69C2">
      <w:pPr>
        <w:rPr>
          <w:rFonts w:ascii="Arial" w:hAnsi="Arial" w:cs="Arial"/>
          <w:lang w:val="sv-SE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807"/>
        <w:gridCol w:w="748"/>
        <w:gridCol w:w="577"/>
        <w:gridCol w:w="577"/>
        <w:gridCol w:w="753"/>
        <w:gridCol w:w="753"/>
        <w:gridCol w:w="774"/>
        <w:gridCol w:w="577"/>
        <w:gridCol w:w="577"/>
        <w:gridCol w:w="577"/>
        <w:gridCol w:w="577"/>
      </w:tblGrid>
      <w:tr w:rsidR="005D5923" w14:paraId="5ABDD96B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6B67" w14:textId="77777777" w:rsidR="005D5923" w:rsidRDefault="005D5923">
            <w:pPr>
              <w:rPr>
                <w:sz w:val="20"/>
                <w:szCs w:val="20"/>
                <w:lang w:val="de-DE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853F0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91266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3C8C5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EEC1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3D00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60F80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8DEC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6A34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93410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4E95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6A53D" w14:textId="77777777" w:rsidR="005D5923" w:rsidRDefault="005D5923">
            <w:pPr>
              <w:rPr>
                <w:sz w:val="20"/>
                <w:szCs w:val="20"/>
              </w:rPr>
            </w:pPr>
          </w:p>
        </w:tc>
      </w:tr>
      <w:tr w:rsidR="005D5923" w14:paraId="2CA61004" w14:textId="77777777" w:rsidTr="005D5923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AC9EB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Mudeli identifikaator(id):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1135E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0AC3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Kaubamärk: polarstone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B236E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AF2F3" w14:textId="3AE1B675" w:rsidR="00A746A6" w:rsidRDefault="00804D3E" w:rsidP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Mudel: VALKIA  leivaahjuga </w:t>
            </w:r>
            <w:r w:rsidR="00387967">
              <w:rPr>
                <w:rFonts w:ascii="Arial" w:hAnsi="Arial" w:cs="Arial"/>
                <w:color w:val="000000"/>
                <w:sz w:val="16"/>
                <w:szCs w:val="16"/>
              </w:rPr>
              <w:t xml:space="preserve">PP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CC6913">
              <w:rPr>
                <w:rFonts w:ascii="Arial" w:hAnsi="Arial" w:cs="Arial"/>
                <w:color w:val="000000"/>
                <w:sz w:val="16"/>
                <w:szCs w:val="16"/>
              </w:rPr>
              <w:t>10- 502-1400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732C4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33E8D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38DA6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FED4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209C3C27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12CCF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Kaudne küttefunktsioon: ei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10CB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1AAB7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EE6F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FF403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10635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8077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3C6A3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8239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A69E4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D2A5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35A1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381BB145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C75C4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Otsene soojusvõimsus: </w:t>
            </w:r>
            <w:r w:rsidR="0038796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387967">
              <w:rPr>
                <w:rFonts w:ascii="Arial" w:hAnsi="Arial" w:cs="Arial"/>
                <w:color w:val="000000"/>
                <w:sz w:val="16"/>
                <w:szCs w:val="16"/>
              </w:rPr>
              <w:t xml:space="preserve">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EB29F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7767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8CB6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0519E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7D60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B2DF4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EA7D4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96713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435C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08A2E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F40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0B68F966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C8028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Kaudne soojusvõimsus: - kW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D3B12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018C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2574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B8E0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525DE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AA8BE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8347F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2E42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8456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A422D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8B11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7D2557B5" w14:textId="77777777" w:rsidTr="005D5923">
        <w:trPr>
          <w:trHeight w:val="735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78F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Kütus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346" w14:textId="29591219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Eelistatud kütus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0BD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Muud sobivad kütused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B75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ŋ[%]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005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Ruumide kütmisest tulenevad heitkogused nimisoojusvõimsuse juures(*)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AF8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Ruumide kütmisest tulenevad heitkogused minimaalse soojuskoormuse korral(*)(**)</w:t>
            </w:r>
          </w:p>
        </w:tc>
      </w:tr>
      <w:tr w:rsidR="005D5923" w14:paraId="1AA26381" w14:textId="77777777" w:rsidTr="005D5923">
        <w:trPr>
          <w:trHeight w:val="45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A53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042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3D1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97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DAE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025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F04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FAF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6C1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5A3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810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72C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x</w:t>
            </w:r>
          </w:p>
        </w:tc>
      </w:tr>
      <w:tr w:rsidR="005D5923" w14:paraId="5E2B2384" w14:textId="77777777" w:rsidTr="005D5923">
        <w:trPr>
          <w:trHeight w:val="480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1C56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EC3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56DE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EC5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598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mg/Nm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(13 % O )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8615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mg/Nm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(13 % O )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</w:p>
        </w:tc>
      </w:tr>
      <w:tr w:rsidR="005D5923" w14:paraId="6CE72783" w14:textId="77777777" w:rsidTr="005D592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61C9" w14:textId="0CB5F848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puuhalud, niiskusesisaldus kuni 25 % või vähem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25E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C623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27E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6DB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99B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B69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29D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9BD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10D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1FD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27D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4E0336C1" w14:textId="77777777" w:rsidTr="005D592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C692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Pressitud puit, niiskusesisaldus alla 12 %.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C42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E26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B29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3B1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56E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FAE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CDC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454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838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41A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C4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435961BE" w14:textId="77777777" w:rsidTr="005D592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6C58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halod, niiskusesisaldus kuni 25 % või vähem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4AD5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7F5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A5D1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220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93D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CB1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D99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8A8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D1F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8211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B7F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0152112B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8107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Muu puitbiomass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BC9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C40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AAC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1A1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B12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063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6EC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FA9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653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103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309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63578593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4429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Mittepuiduline biomass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B2D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934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E49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32D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847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14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49A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36C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4E9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E2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489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7031CB80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50BD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Antratsiit ja lahja kivisüsi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319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1F0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295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B7F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2B8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186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494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C7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290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699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090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365B18AB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EBE7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Kivisöekoks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E73F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05B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652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EA0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C64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BE0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C32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447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DFD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83E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5F7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160F491E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3A0D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Poolitatud pooleks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EE13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113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3B4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EE6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17A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D9F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245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924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56E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917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63B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0FF1306C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B640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Bituminoosne kivisüsi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917D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32E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1D6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058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4D4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E4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C1F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4CE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9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A95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7F4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1CA1D5CC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059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Pruunsöebriketid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0A41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23D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0E0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2C71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C07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9821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105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B81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2611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409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396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7E3DAD52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C190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Turvapüksid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6B9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FF4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758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85F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6C3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6481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4E1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1FD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0F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7AC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DA9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5753EE4F" w14:textId="77777777" w:rsidTr="005D592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F66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Fossiilsete kütuste segu brikettides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423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916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BAD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C04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18C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273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78D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ECC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AD5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00D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76E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7949A909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3DD7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Muu fossiilkütus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4596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553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3B5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EF1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42D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B8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D3B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FC7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006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5E91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BC0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6049B25E" w14:textId="77777777" w:rsidTr="005D592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855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Biomassi ja fossiilsete kütuste segu brikettides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444F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63B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353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D26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901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A84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80C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B80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949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8F7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92D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742618B1" w14:textId="77777777" w:rsidTr="005D592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AD0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Muu biomassi ja tahkekütuste segu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6367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35D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67A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3BE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80B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624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961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994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CC62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8D6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FB3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5D5923" w14:paraId="0D7CC995" w14:textId="77777777" w:rsidTr="005D5923">
        <w:trPr>
          <w:trHeight w:val="300"/>
        </w:trPr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E2DB7" w14:textId="77777777" w:rsidR="005D5923" w:rsidRDefault="005D59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5923" w14:paraId="599F5876" w14:textId="77777777" w:rsidTr="005D5923">
        <w:trPr>
          <w:trHeight w:val="300"/>
        </w:trPr>
        <w:tc>
          <w:tcPr>
            <w:tcW w:w="93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159A" w14:textId="77777777" w:rsidR="00A746A6" w:rsidRDefault="00804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Ainult primaarkütuse omadused</w:t>
            </w:r>
          </w:p>
        </w:tc>
      </w:tr>
      <w:tr w:rsidR="005D5923" w14:paraId="47D3AE12" w14:textId="77777777" w:rsidTr="005D5923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8474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Paragrahv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2AF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Sümbolid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EA8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Arvo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D14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Üksus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45EC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30E5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Paragrahv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9F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Sümbolid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59D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Arvo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7E7A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Üksus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FBAF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EC8C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2639192E" w14:textId="77777777" w:rsidTr="005D5923">
        <w:trPr>
          <w:trHeight w:val="495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C215" w14:textId="77777777" w:rsidR="00A746A6" w:rsidRDefault="00804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Soojusvõimsus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7556E" w14:textId="77777777" w:rsidR="005D5923" w:rsidRDefault="005D59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2079" w14:textId="77777777" w:rsidR="00A746A6" w:rsidRDefault="00804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Efektiivsus (põhineb madalamal kütteväärtusel)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B8EAF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A96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0C8EFFAD" w14:textId="77777777" w:rsidTr="005D5923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D319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Nominaalne soojuskoormus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5AA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nom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443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A424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0B3C0" w14:textId="77777777" w:rsidR="005D5923" w:rsidRDefault="005D59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88D8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Efektiivsus nimisoojusvõimsuse juures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93D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ŋth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, nom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9DD7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140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1137D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50F1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54C7FBC7" w14:textId="77777777" w:rsidTr="005D592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4652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Minimaalne soojusvõimsus (soovituslik)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93A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min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3BA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 kehti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EC5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5138" w14:textId="77777777" w:rsidR="005D5923" w:rsidRDefault="005D59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B11B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Efektiivsus minimaalse soojusvõimsuse juures (soovituslik)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118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ŋth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, nom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552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 kehti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0B8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86F3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9947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00CEF3C1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E9F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9F6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9AE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1B6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7684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18AF5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CAD26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3B63F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700C6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5AA6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4748FF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4A15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79388086" w14:textId="77777777" w:rsidTr="005D5923">
        <w:trPr>
          <w:trHeight w:val="64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EAB6" w14:textId="77777777" w:rsidR="00A746A6" w:rsidRDefault="00804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Täiendav elektritarbimine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196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DFEC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2BD1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5A48D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4D4" w14:textId="77777777" w:rsidR="00A746A6" w:rsidRDefault="00804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Kütte- või ruumitemperatuuri reguleerimise tüüp (valige üks)</w:t>
            </w:r>
          </w:p>
        </w:tc>
      </w:tr>
      <w:tr w:rsidR="005D5923" w14:paraId="3948185E" w14:textId="77777777" w:rsidTr="005D5923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8A19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nimisoojusvõimsuse juures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867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9BF0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00B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EF446" w14:textId="77777777" w:rsidR="005D5923" w:rsidRDefault="005D59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F712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üheastmeline küte ilma ruumitemperatuuri reguleerimiseta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5EF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9D2D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8097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767F7103" w14:textId="77777777" w:rsidTr="005D5923">
        <w:trPr>
          <w:trHeight w:val="6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9D20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Minimaalse soojusvõimsuse juures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9956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min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415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BE2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542BE" w14:textId="77777777" w:rsidR="005D5923" w:rsidRDefault="005D59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60F2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kaks või enam manuaalset astet ilma ruumitemperatuuri kontrollimiseta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E94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EA17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5A42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5D12E640" w14:textId="77777777" w:rsidTr="005D5923">
        <w:trPr>
          <w:trHeight w:val="7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7488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Valmisolekut ootab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435F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SB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75AB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F90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EC467" w14:textId="77777777" w:rsidR="005D5923" w:rsidRDefault="005D59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74DE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ruumitemperatuuri reguleerimine mehaanilise termostaadiga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2D2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4BF1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272E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35A48A3F" w14:textId="77777777" w:rsidTr="005D5923">
        <w:trPr>
          <w:trHeight w:val="51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1D96" w14:textId="77777777" w:rsidR="00A746A6" w:rsidRDefault="00804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Pidevalt põleva kontroll-leegi energiavajadus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D264" w14:textId="77777777" w:rsidR="005D5923" w:rsidRDefault="005D592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2A6E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elektroonilise ruumitemperatuuri kontrolliga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7B193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438BC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17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571939D5" w14:textId="77777777" w:rsidTr="005D5923">
        <w:trPr>
          <w:trHeight w:val="7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6F34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Süütamisleegi võimsusnõue (kui see on kohaldatav)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C8F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pilot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34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 kehti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01ED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ABCC" w14:textId="77777777" w:rsidR="005D5923" w:rsidRDefault="005D592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B4FC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elektroonilise toatemperatuuri reguleerimise ja päevase taimeriga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F565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1954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8C4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764C63B0" w14:textId="77777777" w:rsidTr="005D5923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C7E43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4C10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30F1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49A5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0C5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57CD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elektroonilise toatemperatuuri reguleerimise ja nädalase taimeriga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000E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BF5D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5AB9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3625A576" w14:textId="77777777" w:rsidTr="005D592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95A22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CCA6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EF7B5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E14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B2FE2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6ED" w14:textId="77777777" w:rsidR="00A746A6" w:rsidRDefault="00804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Muud reguleerimisvõimalused (saab valida mitu)</w:t>
            </w:r>
          </w:p>
        </w:tc>
      </w:tr>
      <w:tr w:rsidR="005D5923" w14:paraId="19D5E26F" w14:textId="77777777" w:rsidTr="005D5923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5EA8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1351C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F6A76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EAF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8CA43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3459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ruumitemperatuuri kontroll koos kohalolekuanduriga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0329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B2B04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FA3D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49C574A3" w14:textId="77777777" w:rsidTr="005D5923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C81EF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17DD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C75E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63AD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A782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00E5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toatemperatuuri kontroll avatud aknaanduriga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FC6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B405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F62A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4238B0E8" w14:textId="77777777" w:rsidTr="005D5923">
        <w:trPr>
          <w:trHeight w:val="555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860B7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1B9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DBF4" w14:textId="77777777" w:rsidR="005D5923" w:rsidRDefault="005D592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06E5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3E36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47E1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koos kaugjuhtimispuldiga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474C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7102B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0820" w14:textId="77777777" w:rsidR="005D5923" w:rsidRDefault="005D59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5923" w14:paraId="14E226D6" w14:textId="77777777" w:rsidTr="005D5923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782BC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Kontakt</w:t>
            </w:r>
          </w:p>
        </w:tc>
        <w:tc>
          <w:tcPr>
            <w:tcW w:w="6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2098" w14:textId="77777777" w:rsidR="00A746A6" w:rsidRDefault="00804D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Tootja: Polarstone Oy, Sahakuja 6, 58300 Savonranta, Soome</w:t>
            </w:r>
          </w:p>
        </w:tc>
      </w:tr>
      <w:tr w:rsidR="005D5923" w14:paraId="566DEEEB" w14:textId="77777777" w:rsidTr="005D5923">
        <w:trPr>
          <w:trHeight w:val="300"/>
        </w:trPr>
        <w:tc>
          <w:tcPr>
            <w:tcW w:w="9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89B63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(*) PM = tahked osakesed, OGC = orgaaniliselt seotud süsinik, CO = süsinikmonooksiid, NO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= lämmastikoksiidid.</w:t>
            </w:r>
          </w:p>
        </w:tc>
      </w:tr>
      <w:tr w:rsidR="005D5923" w14:paraId="36B201CC" w14:textId="77777777" w:rsidTr="005D5923">
        <w:trPr>
          <w:trHeight w:val="300"/>
        </w:trPr>
        <w:tc>
          <w:tcPr>
            <w:tcW w:w="9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391ED" w14:textId="77777777" w:rsidR="00A746A6" w:rsidRDefault="00804D3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(**) Nõutav ainult juhul, kui kohaldatakse parandustegurit F(2) või F(3).</w:t>
            </w:r>
          </w:p>
        </w:tc>
      </w:tr>
    </w:tbl>
    <w:p w14:paraId="65FBBAA3" w14:textId="77777777" w:rsidR="009316D1" w:rsidRPr="000B004A" w:rsidRDefault="009316D1" w:rsidP="003F69C2">
      <w:pPr>
        <w:rPr>
          <w:rFonts w:ascii="Arial" w:hAnsi="Arial" w:cs="Arial"/>
        </w:rPr>
      </w:pPr>
    </w:p>
    <w:p w14:paraId="0533DCA8" w14:textId="77777777" w:rsidR="009316D1" w:rsidRPr="000B004A" w:rsidRDefault="009316D1" w:rsidP="003F69C2">
      <w:pPr>
        <w:rPr>
          <w:rFonts w:ascii="Arial" w:hAnsi="Arial" w:cs="Arial"/>
        </w:rPr>
      </w:pPr>
    </w:p>
    <w:p w14:paraId="31A4B98D" w14:textId="77777777" w:rsidR="009316D1" w:rsidRPr="009316D1" w:rsidRDefault="009316D1" w:rsidP="003F69C2">
      <w:pPr>
        <w:rPr>
          <w:rFonts w:ascii="Arial" w:hAnsi="Arial" w:cs="Arial"/>
        </w:rPr>
      </w:pPr>
    </w:p>
    <w:sectPr w:rsidR="009316D1" w:rsidRPr="009316D1" w:rsidSect="00BA4DFB">
      <w:headerReference w:type="default" r:id="rId7"/>
      <w:footerReference w:type="default" r:id="rId8"/>
      <w:pgSz w:w="11906" w:h="16838"/>
      <w:pgMar w:top="540" w:right="1134" w:bottom="1618" w:left="1134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2F116" w14:textId="77777777" w:rsidR="00636A13" w:rsidRDefault="00636A13">
      <w:r>
        <w:separator/>
      </w:r>
    </w:p>
  </w:endnote>
  <w:endnote w:type="continuationSeparator" w:id="0">
    <w:p w14:paraId="3617F4F6" w14:textId="77777777" w:rsidR="00636A13" w:rsidRDefault="0063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3C374" w14:textId="77777777" w:rsidR="00804D3E" w:rsidRDefault="00804D3E">
    <w:pPr>
      <w:pStyle w:val="Footer"/>
      <w:tabs>
        <w:tab w:val="left" w:pos="3960"/>
        <w:tab w:val="left" w:pos="5760"/>
        <w:tab w:val="left" w:pos="7380"/>
      </w:tabs>
    </w:pPr>
    <w:r>
      <w:t>________________________________________________________________________________</w:t>
    </w:r>
  </w:p>
  <w:p w14:paraId="5CFE1F31" w14:textId="77777777" w:rsidR="00804D3E" w:rsidRDefault="00804D3E">
    <w:pPr>
      <w:pStyle w:val="Footer"/>
      <w:tabs>
        <w:tab w:val="left" w:pos="3960"/>
        <w:tab w:val="left" w:pos="5760"/>
        <w:tab w:val="left" w:pos="7380"/>
      </w:tabs>
      <w:rPr>
        <w:rFonts w:ascii="Arial" w:hAnsi="Arial" w:cs="Arial"/>
        <w:sz w:val="20"/>
        <w:szCs w:val="20"/>
      </w:rPr>
    </w:pPr>
    <w:r w:rsidRPr="000A353B">
      <w:rPr>
        <w:rFonts w:ascii="Arial" w:hAnsi="Arial" w:cs="Arial"/>
        <w:b/>
        <w:sz w:val="20"/>
        <w:szCs w:val="20"/>
      </w:rPr>
      <w:t>POLARSTONE OY</w:t>
    </w:r>
    <w:r>
      <w:tab/>
    </w:r>
    <w:r w:rsidRPr="00B52E21">
      <w:rPr>
        <w:rFonts w:ascii="Arial" w:hAnsi="Arial" w:cs="Arial"/>
        <w:sz w:val="20"/>
        <w:szCs w:val="20"/>
      </w:rPr>
      <w:t>Telefon</w:t>
    </w:r>
    <w:r w:rsidRPr="00B52E21">
      <w:rPr>
        <w:rFonts w:ascii="Arial" w:hAnsi="Arial" w:cs="Arial"/>
        <w:sz w:val="20"/>
        <w:szCs w:val="20"/>
      </w:rPr>
      <w:tab/>
    </w:r>
    <w:r w:rsidRPr="00B52E21">
      <w:rPr>
        <w:rFonts w:ascii="Arial" w:hAnsi="Arial" w:cs="Arial"/>
        <w:sz w:val="20"/>
        <w:szCs w:val="20"/>
      </w:rPr>
      <w:tab/>
    </w:r>
    <w:r w:rsidRPr="00B52E21">
      <w:rPr>
        <w:rFonts w:ascii="Arial" w:hAnsi="Arial" w:cs="Arial"/>
        <w:sz w:val="20"/>
        <w:szCs w:val="20"/>
      </w:rPr>
      <w:tab/>
      <w:t>E-post</w:t>
    </w:r>
  </w:p>
  <w:p w14:paraId="1BFF83C7" w14:textId="77777777" w:rsidR="00804D3E" w:rsidRDefault="00804D3E">
    <w:pPr>
      <w:pStyle w:val="Footer"/>
      <w:tabs>
        <w:tab w:val="left" w:pos="3960"/>
        <w:tab w:val="left" w:pos="5760"/>
        <w:tab w:val="left" w:pos="7380"/>
      </w:tabs>
      <w:rPr>
        <w:rFonts w:ascii="Arial" w:hAnsi="Arial" w:cs="Arial"/>
        <w:sz w:val="20"/>
        <w:szCs w:val="20"/>
      </w:rPr>
    </w:pPr>
    <w:r w:rsidRPr="00B52E21">
      <w:rPr>
        <w:rFonts w:ascii="Arial" w:hAnsi="Arial" w:cs="Arial"/>
        <w:sz w:val="20"/>
        <w:szCs w:val="20"/>
      </w:rPr>
      <w:t xml:space="preserve">Sahakuja 6+358 </w:t>
    </w:r>
    <w:r>
      <w:rPr>
        <w:rFonts w:ascii="Arial" w:hAnsi="Arial" w:cs="Arial"/>
        <w:sz w:val="20"/>
        <w:szCs w:val="20"/>
      </w:rPr>
      <w:tab/>
      <w:t>15 679320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info@polarstone.fi</w:t>
    </w:r>
  </w:p>
  <w:p w14:paraId="346F2F21" w14:textId="77777777" w:rsidR="00804D3E" w:rsidRDefault="00804D3E">
    <w:pPr>
      <w:pStyle w:val="Footer"/>
      <w:rPr>
        <w:rFonts w:ascii="Arial" w:hAnsi="Arial" w:cs="Arial"/>
        <w:sz w:val="20"/>
        <w:szCs w:val="20"/>
      </w:rPr>
    </w:pPr>
    <w:r w:rsidRPr="00B52E21">
      <w:rPr>
        <w:rFonts w:ascii="Arial" w:hAnsi="Arial" w:cs="Arial"/>
        <w:sz w:val="20"/>
        <w:szCs w:val="20"/>
      </w:rPr>
      <w:t>58300 Savonranta</w:t>
    </w:r>
  </w:p>
  <w:p w14:paraId="286FC38E" w14:textId="77777777" w:rsidR="00804D3E" w:rsidRDefault="00804D3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www.polarstone.fi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14DFE" w14:textId="77777777" w:rsidR="00636A13" w:rsidRDefault="00636A13">
      <w:r>
        <w:separator/>
      </w:r>
    </w:p>
  </w:footnote>
  <w:footnote w:type="continuationSeparator" w:id="0">
    <w:p w14:paraId="6454A126" w14:textId="77777777" w:rsidR="00636A13" w:rsidRDefault="0063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2F4D3" w14:textId="0D48F58F" w:rsidR="00804D3E" w:rsidRDefault="00804D3E">
    <w:pPr>
      <w:pStyle w:val="Header"/>
    </w:pPr>
    <w:r>
      <w:rPr>
        <w:noProof/>
      </w:rPr>
      <w:drawing>
        <wp:inline distT="0" distB="0" distL="0" distR="0" wp14:anchorId="6EAC2BEE" wp14:editId="1A8C23E0">
          <wp:extent cx="1714500" cy="657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3917"/>
    <w:multiLevelType w:val="hybridMultilevel"/>
    <w:tmpl w:val="3410B97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10BE4"/>
    <w:multiLevelType w:val="hybridMultilevel"/>
    <w:tmpl w:val="94A6413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855477"/>
    <w:multiLevelType w:val="hybridMultilevel"/>
    <w:tmpl w:val="6E0885CC"/>
    <w:lvl w:ilvl="0" w:tplc="A3CAF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9A"/>
    <w:rsid w:val="000064E0"/>
    <w:rsid w:val="00032AE1"/>
    <w:rsid w:val="000345C1"/>
    <w:rsid w:val="00052193"/>
    <w:rsid w:val="00067C10"/>
    <w:rsid w:val="00067EE2"/>
    <w:rsid w:val="000A353B"/>
    <w:rsid w:val="000B004A"/>
    <w:rsid w:val="000E6B37"/>
    <w:rsid w:val="001112A2"/>
    <w:rsid w:val="00116750"/>
    <w:rsid w:val="001821C6"/>
    <w:rsid w:val="001939B5"/>
    <w:rsid w:val="001E1337"/>
    <w:rsid w:val="001F7B07"/>
    <w:rsid w:val="0029595D"/>
    <w:rsid w:val="002E1098"/>
    <w:rsid w:val="002F5556"/>
    <w:rsid w:val="002F6D7B"/>
    <w:rsid w:val="00307DE7"/>
    <w:rsid w:val="00371BD5"/>
    <w:rsid w:val="00387967"/>
    <w:rsid w:val="003F69C2"/>
    <w:rsid w:val="004011F4"/>
    <w:rsid w:val="004E0F2A"/>
    <w:rsid w:val="00524DE2"/>
    <w:rsid w:val="00535B49"/>
    <w:rsid w:val="00552949"/>
    <w:rsid w:val="00554EEB"/>
    <w:rsid w:val="005766E8"/>
    <w:rsid w:val="00595A7D"/>
    <w:rsid w:val="005B757E"/>
    <w:rsid w:val="005C182F"/>
    <w:rsid w:val="005C7003"/>
    <w:rsid w:val="005D5923"/>
    <w:rsid w:val="005F32F4"/>
    <w:rsid w:val="00612470"/>
    <w:rsid w:val="00626225"/>
    <w:rsid w:val="00630F9F"/>
    <w:rsid w:val="00636A13"/>
    <w:rsid w:val="006512B4"/>
    <w:rsid w:val="00662620"/>
    <w:rsid w:val="00662862"/>
    <w:rsid w:val="007264ED"/>
    <w:rsid w:val="00782F69"/>
    <w:rsid w:val="00796126"/>
    <w:rsid w:val="007A399D"/>
    <w:rsid w:val="007C29CC"/>
    <w:rsid w:val="00804D3E"/>
    <w:rsid w:val="00841171"/>
    <w:rsid w:val="00853C14"/>
    <w:rsid w:val="0088447D"/>
    <w:rsid w:val="008B4EA4"/>
    <w:rsid w:val="00901322"/>
    <w:rsid w:val="00903231"/>
    <w:rsid w:val="009316D1"/>
    <w:rsid w:val="00936C0F"/>
    <w:rsid w:val="009567BD"/>
    <w:rsid w:val="00997701"/>
    <w:rsid w:val="009A1AB1"/>
    <w:rsid w:val="009C7393"/>
    <w:rsid w:val="009F4134"/>
    <w:rsid w:val="00A14DE3"/>
    <w:rsid w:val="00A65CC8"/>
    <w:rsid w:val="00A746A6"/>
    <w:rsid w:val="00AE3D47"/>
    <w:rsid w:val="00AF1EE5"/>
    <w:rsid w:val="00B017EC"/>
    <w:rsid w:val="00B4699F"/>
    <w:rsid w:val="00B52E21"/>
    <w:rsid w:val="00B552F4"/>
    <w:rsid w:val="00BA4B8A"/>
    <w:rsid w:val="00BA4DFB"/>
    <w:rsid w:val="00BB4E88"/>
    <w:rsid w:val="00BB5AF3"/>
    <w:rsid w:val="00BC4A89"/>
    <w:rsid w:val="00C0391A"/>
    <w:rsid w:val="00C21600"/>
    <w:rsid w:val="00C53511"/>
    <w:rsid w:val="00C7380E"/>
    <w:rsid w:val="00C76A44"/>
    <w:rsid w:val="00CB3D0F"/>
    <w:rsid w:val="00CC307A"/>
    <w:rsid w:val="00CC6913"/>
    <w:rsid w:val="00D1016D"/>
    <w:rsid w:val="00D110BC"/>
    <w:rsid w:val="00D2126F"/>
    <w:rsid w:val="00D5599A"/>
    <w:rsid w:val="00D652DF"/>
    <w:rsid w:val="00DA3E48"/>
    <w:rsid w:val="00DA420C"/>
    <w:rsid w:val="00DC38EE"/>
    <w:rsid w:val="00DD6AB2"/>
    <w:rsid w:val="00DE2293"/>
    <w:rsid w:val="00E055B5"/>
    <w:rsid w:val="00EA6C9C"/>
    <w:rsid w:val="00EF1315"/>
    <w:rsid w:val="00EF6744"/>
    <w:rsid w:val="00F25C04"/>
    <w:rsid w:val="00FB1359"/>
    <w:rsid w:val="00FB621E"/>
    <w:rsid w:val="00FB733C"/>
    <w:rsid w:val="00FB7D25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2598C"/>
  <w15:docId w15:val="{EE3ACEBA-E1C3-415F-970E-656AAA87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559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599A"/>
    <w:rPr>
      <w:color w:val="0000FF"/>
      <w:u w:val="single"/>
    </w:rPr>
  </w:style>
  <w:style w:type="paragraph" w:styleId="Header">
    <w:name w:val="header"/>
    <w:basedOn w:val="Normal"/>
    <w:rsid w:val="00B52E21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52E21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93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rsid w:val="009F4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>, docId:C118AA3388142440EB6EEA35053CC6BA</cp:keywords>
  <dc:description/>
  <cp:lastModifiedBy>Hannes</cp:lastModifiedBy>
  <cp:revision>2</cp:revision>
  <cp:lastPrinted>2024-02-22T12:32:00Z</cp:lastPrinted>
  <dcterms:created xsi:type="dcterms:W3CDTF">2024-02-22T13:18:00Z</dcterms:created>
  <dcterms:modified xsi:type="dcterms:W3CDTF">2024-02-22T13:18:00Z</dcterms:modified>
</cp:coreProperties>
</file>